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AEEEE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4456</w:t>
      </w:r>
    </w:p>
    <w:p w14:paraId="3EECE8D8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Dallas, US, 17 – 21 November 2025</w:t>
      </w:r>
    </w:p>
    <w:p w14:paraId="21AD6BC8">
      <w:pPr>
        <w:rPr>
          <w:rFonts w:ascii="Arial" w:hAnsi="Arial" w:cs="Arial"/>
        </w:rPr>
      </w:pPr>
    </w:p>
    <w:p w14:paraId="150C8BCF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[draft]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n Security parameter in A-IoT paging</w:t>
      </w:r>
    </w:p>
    <w:p w14:paraId="1D5C47DD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LS </w:t>
      </w:r>
      <w:r>
        <w:rPr>
          <w:rFonts w:hint="eastAsia" w:ascii="Arial" w:hAnsi="Arial" w:eastAsia="宋体" w:cs="Arial"/>
          <w:b/>
          <w:sz w:val="22"/>
          <w:szCs w:val="22"/>
          <w:lang w:val="en-US" w:eastAsia="en-US"/>
        </w:rPr>
        <w:t>R2-250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7920 on Security parameter in A-IoT paging from RAN2</w:t>
      </w:r>
    </w:p>
    <w:bookmarkEnd w:id="0"/>
    <w:bookmarkEnd w:id="1"/>
    <w:p w14:paraId="783D9D95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Release: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Release 19</w:t>
      </w:r>
    </w:p>
    <w:bookmarkEnd w:id="2"/>
    <w:bookmarkEnd w:id="3"/>
    <w:bookmarkEnd w:id="4"/>
    <w:p w14:paraId="6ED355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Work Item: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fldChar w:fldCharType="begin"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instrText xml:space="preserve"> DOCPROPERTY  RelatedWis  \* MERGEFORMAT </w:instrTex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fldChar w:fldCharType="separate"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AmbientIoT-SEC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fldChar w:fldCharType="end"/>
      </w:r>
    </w:p>
    <w:p w14:paraId="3C7425DA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eastAsia="zh-CN"/>
        </w:rPr>
      </w:pPr>
    </w:p>
    <w:p w14:paraId="66BCE38F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Source: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China Mobile, China Unicom 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(to be SA3)</w:t>
      </w:r>
    </w:p>
    <w:p w14:paraId="0DC649B9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To: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RAN2</w:t>
      </w:r>
    </w:p>
    <w:p w14:paraId="0B06E39A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Cc: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SA2,CT1, RAN3</w:t>
      </w:r>
    </w:p>
    <w:bookmarkEnd w:id="5"/>
    <w:bookmarkEnd w:id="6"/>
    <w:p w14:paraId="22563090">
      <w:pPr>
        <w:spacing w:after="60"/>
        <w:ind w:left="1985" w:hanging="1985"/>
        <w:rPr>
          <w:rFonts w:ascii="Arial" w:hAnsi="Arial" w:cs="Arial"/>
          <w:bCs/>
        </w:rPr>
      </w:pPr>
    </w:p>
    <w:p w14:paraId="26B0B573"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Xiaoting Huang, </w:t>
      </w:r>
    </w:p>
    <w:p w14:paraId="5F91BED4">
      <w:pPr>
        <w:spacing w:after="60"/>
        <w:ind w:left="2012" w:leftChars="1006" w:firstLine="18" w:firstLineChars="8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huangxiaoting@chinamobile.com</w:t>
      </w:r>
    </w:p>
    <w:p w14:paraId="7552C5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037EDE34">
      <w:pPr>
        <w:spacing w:after="60"/>
        <w:ind w:left="1985" w:hanging="1985"/>
        <w:rPr>
          <w:rFonts w:ascii="Arial" w:hAnsi="Arial" w:cs="Arial"/>
          <w:b/>
        </w:rPr>
      </w:pPr>
    </w:p>
    <w:p w14:paraId="351F15A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</w:rPr>
        <w:t>S3-25xxxx</w:t>
      </w:r>
    </w:p>
    <w:p w14:paraId="048F952C">
      <w:pPr>
        <w:pStyle w:val="3"/>
        <w:rPr>
          <w:rFonts w:eastAsia="宋体" w:cs="Arial"/>
          <w:b/>
          <w:sz w:val="20"/>
          <w:lang w:val="en-US" w:eastAsia="en-US"/>
        </w:rPr>
      </w:pPr>
      <w:r>
        <w:rPr>
          <w:rFonts w:eastAsia="宋体" w:cs="Arial"/>
          <w:b/>
          <w:sz w:val="20"/>
          <w:lang w:val="en-US" w:eastAsia="en-US"/>
        </w:rPr>
        <w:t>1</w:t>
      </w:r>
      <w:r>
        <w:rPr>
          <w:rFonts w:hint="eastAsia" w:eastAsia="宋体" w:cs="Arial"/>
          <w:b/>
          <w:sz w:val="20"/>
          <w:lang w:val="en-US" w:eastAsia="zh-CN"/>
        </w:rPr>
        <w:t>.</w:t>
      </w:r>
      <w:r>
        <w:rPr>
          <w:rFonts w:eastAsia="宋体" w:cs="Arial"/>
          <w:b/>
          <w:sz w:val="20"/>
          <w:lang w:val="en-US" w:eastAsia="en-US"/>
        </w:rPr>
        <w:t>Overall description</w:t>
      </w:r>
    </w:p>
    <w:p w14:paraId="135A6E1D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SA3 thanks RAN2 for the LS on</w:t>
      </w:r>
      <w:r>
        <w:rPr>
          <w:rFonts w:eastAsia="等线"/>
          <w:lang w:eastAsia="zh-CN"/>
        </w:rPr>
        <w:t xml:space="preserve"> </w:t>
      </w:r>
      <w:r>
        <w:t>Security parameter in A-IoT paging</w:t>
      </w:r>
      <w:r>
        <w:rPr>
          <w:lang w:eastAsia="zh-CN"/>
        </w:rPr>
        <w:t xml:space="preserve"> (R2-250</w:t>
      </w:r>
      <w:r>
        <w:rPr>
          <w:lang w:val="en-US" w:eastAsia="zh-CN"/>
        </w:rPr>
        <w:t>7920</w:t>
      </w:r>
      <w:r>
        <w:rPr>
          <w:lang w:eastAsia="zh-CN"/>
        </w:rPr>
        <w:t>)</w:t>
      </w:r>
      <w:r>
        <w:rPr>
          <w:lang w:val="en-US" w:eastAsia="zh-CN"/>
        </w:rPr>
        <w:t>.</w:t>
      </w:r>
    </w:p>
    <w:p w14:paraId="0F3EF9B2">
      <w:pPr>
        <w:widowControl w:val="0"/>
        <w:overflowPunct/>
        <w:autoSpaceDE/>
        <w:autoSpaceDN/>
        <w:adjustRightInd/>
        <w:textAlignment w:val="auto"/>
        <w:rPr>
          <w:rFonts w:eastAsia="等线"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SA3 has discussed the following question</w:t>
      </w:r>
      <w:r>
        <w:rPr>
          <w:rFonts w:hint="eastAsia" w:eastAsia="等线"/>
          <w:kern w:val="2"/>
          <w:lang w:val="en-US" w:eastAsia="zh-CN"/>
          <w14:ligatures w14:val="standardContextual"/>
        </w:rPr>
        <w:t xml:space="preserve"> and provided the answer below</w:t>
      </w:r>
      <w:r>
        <w:rPr>
          <w:rFonts w:eastAsia="等线"/>
          <w:kern w:val="2"/>
          <w:lang w:val="en-US" w:eastAsia="zh-CN"/>
          <w14:ligatures w14:val="standardContextual"/>
        </w:rPr>
        <w:t>:</w:t>
      </w:r>
    </w:p>
    <w:p w14:paraId="7DFDED1D">
      <w:pPr>
        <w:rPr>
          <w:rFonts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u w:val="single"/>
          <w:lang w:eastAsia="zh-CN"/>
        </w:rPr>
        <w:t>Question:</w:t>
      </w:r>
      <w:r>
        <w:rPr>
          <w:rFonts w:hint="eastAsia" w:eastAsiaTheme="minorEastAsia"/>
          <w:b/>
          <w:bCs/>
          <w:lang w:eastAsia="zh-CN"/>
        </w:rPr>
        <w:t xml:space="preserve"> </w:t>
      </w:r>
      <w:r>
        <w:rPr>
          <w:rFonts w:hint="eastAsia" w:eastAsiaTheme="minorEastAsia"/>
          <w:i/>
          <w:iCs/>
          <w:lang w:eastAsia="zh-CN"/>
        </w:rPr>
        <w:t>W</w:t>
      </w:r>
      <w:r>
        <w:rPr>
          <w:i/>
          <w:iCs/>
          <w:lang w:eastAsia="ko-KR"/>
        </w:rPr>
        <w:t xml:space="preserve">hether the </w:t>
      </w:r>
      <w:r>
        <w:rPr>
          <w:rFonts w:hint="eastAsia" w:eastAsiaTheme="minorEastAsia"/>
          <w:i/>
          <w:iCs/>
          <w:lang w:eastAsia="zh-CN"/>
        </w:rPr>
        <w:t xml:space="preserve">128 bits </w:t>
      </w:r>
      <w:r>
        <w:rPr>
          <w:i/>
          <w:iCs/>
          <w:lang w:eastAsia="ko-KR"/>
        </w:rPr>
        <w:t>security parameter has to be included in every paging message</w:t>
      </w:r>
      <w:r>
        <w:rPr>
          <w:rFonts w:hint="eastAsia" w:eastAsiaTheme="minorEastAsia"/>
          <w:i/>
          <w:iCs/>
          <w:lang w:eastAsia="zh-CN"/>
        </w:rPr>
        <w:t>?</w:t>
      </w:r>
    </w:p>
    <w:p w14:paraId="117E6E5E">
      <w:pPr>
        <w:rPr>
          <w:rFonts w:eastAsiaTheme="minorEastAsia"/>
          <w:b w:val="0"/>
          <w:bCs w:val="0"/>
          <w:lang w:val="en-US" w:eastAsia="zh-CN"/>
        </w:rPr>
      </w:pPr>
      <w:r>
        <w:rPr>
          <w:rFonts w:ascii="Arial" w:hAnsi="Arial" w:eastAsia="等线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hAnsi="Arial" w:eastAsia="等线" w:cs="Arial"/>
          <w:kern w:val="2"/>
          <w:lang w:eastAsia="zh-CN"/>
          <w14:ligatures w14:val="standardContextual"/>
        </w:rPr>
        <w:t>: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 xml:space="preserve"> </w:t>
      </w:r>
      <w:r>
        <w:rPr>
          <w:rFonts w:hint="eastAsia" w:eastAsiaTheme="minorEastAsia"/>
          <w:b w:val="0"/>
          <w:bCs w:val="0"/>
          <w:lang w:val="en-US" w:eastAsia="zh-CN"/>
        </w:rPr>
        <w:t>With the consideration of o</w:t>
      </w:r>
      <w:r>
        <w:rPr>
          <w:rFonts w:hint="eastAsia" w:eastAsiaTheme="minorEastAsia"/>
          <w:b w:val="0"/>
          <w:bCs w:val="0"/>
          <w:lang w:eastAsia="zh-CN"/>
        </w:rPr>
        <w:t>verhead</w:t>
      </w:r>
      <w:r>
        <w:rPr>
          <w:rFonts w:hint="eastAsia" w:eastAsiaTheme="minorEastAsia"/>
          <w:b w:val="0"/>
          <w:bCs w:val="0"/>
          <w:lang w:val="en-US" w:eastAsia="zh-CN"/>
        </w:rPr>
        <w:t>, p</w:t>
      </w:r>
      <w:r>
        <w:rPr>
          <w:rFonts w:hint="eastAsia" w:eastAsiaTheme="minorEastAsia"/>
          <w:b w:val="0"/>
          <w:bCs w:val="0"/>
          <w:lang w:eastAsia="zh-CN"/>
        </w:rPr>
        <w:t>ower consumption</w:t>
      </w:r>
      <w:r>
        <w:rPr>
          <w:rFonts w:hint="eastAsia" w:eastAsiaTheme="minorEastAsia"/>
          <w:b w:val="0"/>
          <w:bCs w:val="0"/>
          <w:lang w:val="en-US" w:eastAsia="zh-CN"/>
        </w:rPr>
        <w:t xml:space="preserve"> and complexity of authentication procedure, </w:t>
      </w:r>
      <w:r>
        <w:rPr>
          <w:rFonts w:eastAsiaTheme="minorEastAsia"/>
          <w:b w:val="0"/>
          <w:bCs w:val="0"/>
          <w:lang w:val="en-US" w:eastAsia="zh-CN"/>
        </w:rPr>
        <w:t xml:space="preserve">it would be beneficial for operators to have the flexibility to decide the activation of authentication. For example, in the </w:t>
      </w:r>
      <w:r>
        <w:rPr>
          <w:rFonts w:hint="eastAsia" w:eastAsiaTheme="minorEastAsia"/>
          <w:b w:val="0"/>
          <w:bCs w:val="0"/>
          <w:lang w:val="en-US" w:eastAsia="zh-CN"/>
        </w:rPr>
        <w:t xml:space="preserve">indoor deployments in private network </w:t>
      </w:r>
      <w:r>
        <w:rPr>
          <w:rFonts w:eastAsiaTheme="minorEastAsia"/>
          <w:b w:val="0"/>
          <w:bCs w:val="0"/>
          <w:lang w:val="en-US" w:eastAsia="zh-CN"/>
        </w:rPr>
        <w:t>,</w:t>
      </w:r>
      <w:r>
        <w:rPr>
          <w:rFonts w:hint="eastAsia" w:eastAsiaTheme="minorEastAsia"/>
          <w:b w:val="0"/>
          <w:bCs w:val="0"/>
          <w:lang w:val="en-US" w:eastAsia="zh-CN"/>
        </w:rPr>
        <w:t xml:space="preserve"> the authentication of AIoT device </w:t>
      </w:r>
      <w:r>
        <w:rPr>
          <w:rFonts w:eastAsiaTheme="minorEastAsia"/>
          <w:b w:val="0"/>
          <w:bCs w:val="0"/>
          <w:lang w:val="en-US" w:eastAsia="zh-CN"/>
        </w:rPr>
        <w:t xml:space="preserve">in inventory functional service </w:t>
      </w:r>
      <w:r>
        <w:rPr>
          <w:rFonts w:hint="eastAsia" w:eastAsiaTheme="minorEastAsia"/>
          <w:b w:val="0"/>
          <w:bCs w:val="0"/>
          <w:lang w:val="en-US" w:eastAsia="zh-CN"/>
        </w:rPr>
        <w:t xml:space="preserve">may not </w:t>
      </w:r>
      <w:r>
        <w:rPr>
          <w:rFonts w:eastAsiaTheme="minorEastAsia"/>
          <w:b w:val="0"/>
          <w:bCs w:val="0"/>
          <w:lang w:val="en-US" w:eastAsia="zh-CN"/>
        </w:rPr>
        <w:t xml:space="preserve">always </w:t>
      </w:r>
      <w:r>
        <w:rPr>
          <w:rFonts w:hint="eastAsia" w:eastAsiaTheme="minorEastAsia"/>
          <w:b w:val="0"/>
          <w:bCs w:val="0"/>
          <w:lang w:val="en-US" w:eastAsia="zh-CN"/>
        </w:rPr>
        <w:t>be needed, therefore, the RAND</w:t>
      </w:r>
      <w:r>
        <w:rPr>
          <w:rFonts w:hint="eastAsia" w:eastAsiaTheme="minorEastAsia"/>
          <w:b w:val="0"/>
          <w:bCs w:val="0"/>
          <w:vertAlign w:val="subscript"/>
          <w:lang w:val="en-US" w:eastAsia="zh-CN"/>
        </w:rPr>
        <w:t>AIOT_n</w:t>
      </w:r>
      <w:r>
        <w:rPr>
          <w:rFonts w:hint="eastAsia" w:eastAsiaTheme="minorEastAsia"/>
          <w:b w:val="0"/>
          <w:bCs w:val="0"/>
          <w:lang w:val="en-US" w:eastAsia="zh-CN"/>
        </w:rPr>
        <w:t xml:space="preserve"> may not need to be included in every paging message. </w:t>
      </w:r>
    </w:p>
    <w:p w14:paraId="3A5CD74D">
      <w:pPr>
        <w:rPr>
          <w:rFonts w:eastAsiaTheme="minorEastAsia"/>
          <w:lang w:val="en-US" w:eastAsia="zh-CN"/>
        </w:rPr>
      </w:pPr>
    </w:p>
    <w:p w14:paraId="16BC85EF">
      <w:pPr>
        <w:rPr>
          <w:rFonts w:eastAsiaTheme="minorEastAsia"/>
          <w:lang w:val="en-US" w:eastAsia="zh-CN"/>
        </w:rPr>
      </w:pPr>
    </w:p>
    <w:p w14:paraId="596AD6F2">
      <w:pPr>
        <w:rPr>
          <w:rFonts w:ascii="Arial" w:hAnsi="Arial" w:eastAsia="宋体" w:cs="Arial"/>
          <w:b/>
          <w:lang w:val="en-US" w:eastAsia="en-US"/>
        </w:rPr>
      </w:pPr>
      <w:r>
        <w:rPr>
          <w:rFonts w:ascii="Arial" w:hAnsi="Arial" w:eastAsia="宋体" w:cs="Arial"/>
          <w:b/>
          <w:lang w:val="en-US" w:eastAsia="en-US"/>
        </w:rPr>
        <w:t>2</w:t>
      </w:r>
      <w:r>
        <w:rPr>
          <w:rFonts w:hint="eastAsia" w:ascii="Arial" w:hAnsi="Arial" w:eastAsia="宋体" w:cs="Arial"/>
          <w:b/>
          <w:lang w:val="en-US" w:eastAsia="zh-CN"/>
        </w:rPr>
        <w:t>.</w:t>
      </w:r>
      <w:r>
        <w:rPr>
          <w:rFonts w:ascii="Arial" w:hAnsi="Arial" w:eastAsia="宋体" w:cs="Arial"/>
          <w:b/>
          <w:lang w:val="en-US" w:eastAsia="en-US"/>
        </w:rPr>
        <w:t>Actions</w:t>
      </w:r>
    </w:p>
    <w:p w14:paraId="72C4F9C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RAN2:</w:t>
      </w:r>
      <w:r>
        <w:rPr>
          <w:rFonts w:ascii="Arial" w:hAnsi="Arial" w:cs="Arial"/>
          <w:b/>
        </w:rPr>
        <w:t xml:space="preserve"> </w:t>
      </w:r>
    </w:p>
    <w:p w14:paraId="09AFF8EE">
      <w:pPr>
        <w:rPr>
          <w:i/>
          <w:iCs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 xml:space="preserve">RAN2 </w:t>
      </w:r>
      <w:r>
        <w:rPr>
          <w:rFonts w:hint="eastAsia" w:ascii="Arial" w:hAnsi="Arial" w:cs="Arial"/>
          <w:bCs/>
          <w:lang w:eastAsia="zh-CN"/>
        </w:rPr>
        <w:t>take</w:t>
      </w:r>
      <w:r>
        <w:rPr>
          <w:rFonts w:hint="eastAsia" w:ascii="Arial" w:hAnsi="Arial" w:cs="Arial"/>
          <w:bCs/>
          <w:lang w:val="en-US" w:eastAsia="zh-CN"/>
        </w:rPr>
        <w:t>s</w:t>
      </w:r>
      <w:bookmarkStart w:id="7" w:name="_GoBack"/>
      <w:bookmarkEnd w:id="7"/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into consideration the above </w:t>
      </w:r>
      <w:r>
        <w:rPr>
          <w:rFonts w:hint="eastAsia" w:ascii="Arial" w:hAnsi="Arial" w:cs="Arial"/>
          <w:bCs/>
          <w:lang w:val="en-US" w:eastAsia="zh-CN"/>
        </w:rPr>
        <w:t>information.</w:t>
      </w:r>
    </w:p>
    <w:p w14:paraId="3EED72A4">
      <w:pPr>
        <w:spacing w:after="120"/>
        <w:ind w:left="993" w:hanging="993"/>
        <w:rPr>
          <w:rFonts w:ascii="Arial" w:hAnsi="Arial" w:cs="Arial"/>
        </w:rPr>
      </w:pPr>
    </w:p>
    <w:p w14:paraId="3653CF8D"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84E231F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>
        <w:rPr>
          <w:lang w:val="sv-SE"/>
        </w:rPr>
        <w:t>9 – 13 February 2026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Goa (India)</w:t>
      </w:r>
    </w:p>
    <w:p w14:paraId="78A6405D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</w:r>
      <w:r>
        <w:rPr>
          <w:lang w:val="sv-SE"/>
        </w:rPr>
        <w:t>13 – 17 April 2026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Malta</w:t>
      </w:r>
    </w:p>
    <w:p w14:paraId="1D002367">
      <w:pPr>
        <w:rPr>
          <w:lang w:val="sv-SE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96B59"/>
    <w:rsid w:val="001A14F2"/>
    <w:rsid w:val="001B3A86"/>
    <w:rsid w:val="001B763F"/>
    <w:rsid w:val="001D1F34"/>
    <w:rsid w:val="00212CB8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B2B76"/>
    <w:rsid w:val="005B6433"/>
    <w:rsid w:val="0060508C"/>
    <w:rsid w:val="006052AD"/>
    <w:rsid w:val="00686085"/>
    <w:rsid w:val="00696906"/>
    <w:rsid w:val="007104E5"/>
    <w:rsid w:val="0073766B"/>
    <w:rsid w:val="00774317"/>
    <w:rsid w:val="007B43D4"/>
    <w:rsid w:val="007C4FF7"/>
    <w:rsid w:val="007F4F92"/>
    <w:rsid w:val="008758B0"/>
    <w:rsid w:val="008A7D8A"/>
    <w:rsid w:val="008D3E9C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455B0"/>
    <w:rsid w:val="00A57D88"/>
    <w:rsid w:val="00A70448"/>
    <w:rsid w:val="00AA2831"/>
    <w:rsid w:val="00AA4FF3"/>
    <w:rsid w:val="00AE1B3E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B5440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2964180"/>
    <w:rsid w:val="076B4694"/>
    <w:rsid w:val="07C03224"/>
    <w:rsid w:val="0FEB6D34"/>
    <w:rsid w:val="14944C18"/>
    <w:rsid w:val="25951A1E"/>
    <w:rsid w:val="2B1710F7"/>
    <w:rsid w:val="31EF4A77"/>
    <w:rsid w:val="3374519E"/>
    <w:rsid w:val="38FD6B0A"/>
    <w:rsid w:val="3E5C19E7"/>
    <w:rsid w:val="3EE811C2"/>
    <w:rsid w:val="43361AD5"/>
    <w:rsid w:val="46C53BAF"/>
    <w:rsid w:val="55632765"/>
    <w:rsid w:val="57660E92"/>
    <w:rsid w:val="59E33EF5"/>
    <w:rsid w:val="66A050A8"/>
    <w:rsid w:val="6DC01176"/>
    <w:rsid w:val="6E935BE8"/>
    <w:rsid w:val="705111DF"/>
    <w:rsid w:val="736B06C3"/>
    <w:rsid w:val="79CC6A72"/>
    <w:rsid w:val="7A025AE3"/>
    <w:rsid w:val="7A544318"/>
    <w:rsid w:val="7C05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Doc-text2"/>
    <w:basedOn w:val="1"/>
    <w:qFormat/>
    <w:uiPriority w:val="0"/>
    <w:pPr>
      <w:tabs>
        <w:tab w:val="left" w:pos="1622"/>
      </w:tabs>
      <w:autoSpaceDE/>
      <w:autoSpaceDN/>
      <w:adjustRightInd/>
      <w:spacing w:after="0"/>
      <w:ind w:left="1622" w:hanging="363"/>
    </w:pPr>
    <w:rPr>
      <w:rFonts w:ascii="Arial" w:hAnsi="Arial" w:eastAsia="MS Mincho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222</Words>
  <Characters>1268</Characters>
  <Lines>10</Lines>
  <Paragraphs>2</Paragraphs>
  <TotalTime>53</TotalTime>
  <ScaleCrop>false</ScaleCrop>
  <LinksUpToDate>false</LinksUpToDate>
  <CharactersWithSpaces>1488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2025-11-06T01:12:00Z</dcterms:created>
  <dc:creator>David Boswarthick</dc:creator>
  <cp:lastModifiedBy>cmcc</cp:lastModifiedBy>
  <cp:lastPrinted>2002-04-23T07:10:00Z</cp:lastPrinted>
  <dcterms:modified xsi:type="dcterms:W3CDTF">2025-11-10T13:02:53Z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76382404FA4A43E3AAEBF3D8AC9CD5D9_13</vt:lpwstr>
  </property>
</Properties>
</file>